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Tahoma" w:eastAsia="Times New Roman" w:hAnsi="Tahoma" w:cs="Tahoma"/>
          <w:b/>
          <w:bCs/>
          <w:color w:val="800000"/>
          <w:sz w:val="28"/>
          <w:szCs w:val="28"/>
          <w:bdr w:val="none" w:sz="0" w:space="0" w:color="auto" w:frame="1"/>
          <w:lang w:eastAsia="ru-RU"/>
        </w:rPr>
        <w:t>Контрольные вопросы для подготовки к экзаменам по курсу «</w:t>
      </w:r>
      <w:bookmarkStart w:id="0" w:name="OLE_LINK1"/>
      <w:r w:rsidRPr="005E5FD8">
        <w:rPr>
          <w:rFonts w:ascii="Tahoma" w:eastAsia="Times New Roman" w:hAnsi="Tahoma" w:cs="Tahoma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>Оборудование систем мобильной связи</w:t>
      </w:r>
      <w:bookmarkEnd w:id="0"/>
      <w:r w:rsidRPr="005E5FD8">
        <w:rPr>
          <w:rFonts w:ascii="Tahoma" w:eastAsia="Times New Roman" w:hAnsi="Tahoma" w:cs="Tahoma"/>
          <w:b/>
          <w:bCs/>
          <w:color w:val="800000"/>
          <w:sz w:val="28"/>
          <w:szCs w:val="28"/>
          <w:bdr w:val="none" w:sz="0" w:space="0" w:color="auto" w:frame="1"/>
          <w:lang w:eastAsia="ru-RU"/>
        </w:rPr>
        <w:t>»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 xml:space="preserve">Введение. Современный этап развития СМС. Основные стандарты подвижной связи и их </w:t>
      </w:r>
      <w:proofErr w:type="spellStart"/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радиоинтерфейсы</w:t>
      </w:r>
      <w:proofErr w:type="spellEnd"/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Современный этап развития СМС. Четыре поколения СМС. Революционный и эволюционный переходы к следующему поколению. Их достоинства и недостатки.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Технология 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val="en-US" w:eastAsia="ru-RU"/>
        </w:rPr>
        <w:t>GPRS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 Технология 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val="en-US" w:eastAsia="ru-RU"/>
        </w:rPr>
        <w:t>EDGE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Радиоинтерфейсы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 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val="en-US" w:eastAsia="ru-RU"/>
        </w:rPr>
        <w:t>IMT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 Сети четвертого поколения 4G.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Типы и разновидности СМС.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Увеличение скорости передачи каналов связи в существующих стандартах.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Радиоинтерфейсы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основных СМС, их основные параметры и характеристики.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bookmarkStart w:id="1" w:name="OLE_LINK2"/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Функционирование РЧ оборудования СМС</w:t>
      </w:r>
      <w:bookmarkEnd w:id="1"/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. Структура и функционирование РЧ блоков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Радиопередача сигналов в СМС. Потери при распространении. Отражение и дифракция сигнала. Замирания и </w:t>
      </w:r>
      <w:proofErr w:type="spellStart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многолучевость</w:t>
      </w:r>
      <w:proofErr w:type="spellEnd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. Помехи. Межсимвольная интерференция. Радиосвязь внутри зданий.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Методы разнесенного приема. Разнесение в пространстве. Разнесение по времени (Интерливинг). Разнесение по частоте. Скачки по частоте.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Управление выходной РЧ мощностью передатчиков. Статическая и динамическая регулировка РЧ мощности. Динамическая регулировка РЧ мощности.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Рампинг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Замкнутые и разомкнутые петли регулировки РЧ мощности в СМС.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Функционирование РЧ блока. Преобразование информации в приемопередатчике СМС.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Обобщеннаяструктура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приемопередатчика СМС. Интерфейс РЧ/</w:t>
      </w:r>
      <w:proofErr w:type="gram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ИТ</w:t>
      </w:r>
      <w:proofErr w:type="gram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(RF/BB).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Входные РЧ блоки. Устройства разделения трактов.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Дуплексеры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и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диплексеры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Управление потребляемой мощностью РЧ блоков.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Цифровая модуляция. Модуляторы. Целостность модулированного сигнала.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Модуляция. Виды модуляции, используемые в СМС.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Относительные, дифференциальные методы модуляции</w:t>
      </w:r>
      <w:proofErr w:type="gram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 .</w:t>
      </w:r>
      <w:proofErr w:type="gramEnd"/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Относительная фазовая модуляция.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Квадратурная фазовая манипуляция QPSK. Каноническая манипуляция QPSK. Относительная квадратурная модуляция DQPSK. Относительная квадратурная модуляция PI/4 DQPSK.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Сдвиговая или офсетная модуляция. Квадратурная сдвиговая модуляция OQPSK. Формирование OQPSK.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Сигнальное кодирование. </w:t>
      </w:r>
      <w:proofErr w:type="spellStart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Греевское</w:t>
      </w:r>
      <w:proofErr w:type="spellEnd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 и бинарное кодирование.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Модуляторы и демодуляторы. Принятие решения. Выбор точки принятия решения.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Векторный анализ сигналов. Квадратурные компоненты. Параметр 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val="en-US" w:eastAsia="ru-RU"/>
        </w:rPr>
        <w:t>SpS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 – количество отсчетов на символ.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Виды отображения модулированных сигналов.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Сигнальное созвездие (СС). Векторная диаграмма. Решетчатая диаграмма.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Оценка качества модулированных сигналов. Целостность сигнального созвездия. Виды нарушения целостности сигнального созвездия. Межсимвольные искажения.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Величина вектора сигнала ошибки 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val="en-US" w:eastAsia="ru-RU"/>
        </w:rPr>
        <w:t>EVM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. Его вычисление. Учитываемые и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неучитываемые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виды искажений СС.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Функция распределения уровней сигнала 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val="en-US" w:eastAsia="ru-RU"/>
        </w:rPr>
        <w:t>CCDF</w:t>
      </w: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 Ее использование для оценки качества РО.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Архитектура, частотный и энергетический планы приемопередатчиков мобильной связи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Архитектура, частотный и энергетический планы РЧ блоков.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Частотный план РЧ блоков современных СМС. Учет комбинационных составляющих на выходе преобразователя частоты.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Квадратурная обработка сигналов. Формирование опорных сигналов квадратурных каналов. Смесители с подавлением зеркального канала.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Архитектура тракта приема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Супергетеродинные приемники. Тракт приема с двойным и одним преобразованием частоты преобразованием частоты.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Приемники с прямым преобразованием. Проблемы использования архитектуры с прямым преобразованием в СМС. Утечка сигнала гетеродина и его </w:t>
      </w:r>
      <w:proofErr w:type="spellStart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самосмешение</w:t>
      </w:r>
      <w:proofErr w:type="spellEnd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. Просачивание сигнала помехи. Утечка сигнала гетеродина на антенный вход и его излучение. Смещение постоянной составляющей.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Приемники с низкой ПЧ.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Приемники с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субдискретизацией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(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подвыборками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). Приемники с </w:t>
      </w:r>
      <w:proofErr w:type="gram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цифровой</w:t>
      </w:r>
      <w:proofErr w:type="gram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ПЧ.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bookmarkStart w:id="2" w:name="OLE_LINK4"/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Архитектура тракта передачи.</w:t>
      </w:r>
      <w:bookmarkEnd w:id="2"/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bookmarkStart w:id="3" w:name="OLE_LINK6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Квадратурные модуляторы. Передатчики с прямой модуляцией на РЧ.</w:t>
      </w:r>
      <w:bookmarkEnd w:id="3"/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Архитектура тракта передачи с прямой квадратурной модуляцией. Проблемы использования архитектуры с прямой модуляцией. Прямая модуляция со сдвигом частоты ГУН. Прямая модуляция с удвоением и делением частоты.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Передатчики с непрямой модуляцией. Передатчики с петлей трансляции и преобразованием сигнала вверх по частоте. Передатчик с прямой модуляцией ГУН на основе петли ФАПЧ. Передатчик с квадратурным модулятором внутри петли обратной связи. Передатчик на основе ФАПЧ с модуляцией опорного сигнала.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Получение модулированной опорной частоты с помощью ПЦС (ЦВС). Использование дробного коэффициента деления. Использование </w:t>
      </w:r>
      <w:proofErr w:type="gramStart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цифровой</w:t>
      </w:r>
      <w:proofErr w:type="gramEnd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 ПЧ.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Тракт синтеза частот и формирования радиосигналов. Генераторы, управляемые напряжением в оборудовании СМС.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Активный и пассивный синтез частот. Достоинства и недостатки.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Опорные (гетеродинные) сигналы. Системный опорный сигнал.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Влияние качества опорных сигналов на ПК приемопередатчика.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Быстродействие СЧ. Образование слепых слотов.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bookmarkStart w:id="4" w:name="OLE_LINK8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Разновидности СЧ для РЧ блоков СМС.</w:t>
      </w:r>
      <w:bookmarkEnd w:id="4"/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Абонентские устройства. Базовые станции (БС). Сайты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bookmarkStart w:id="5" w:name="OLE_LINK14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Типовая структура БС. Основные компоненты БС.</w:t>
      </w:r>
      <w:bookmarkEnd w:id="5"/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Комбайнеры, распределительные панели, </w:t>
      </w:r>
      <w:proofErr w:type="spellStart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преселекторы</w:t>
      </w:r>
      <w:proofErr w:type="spellEnd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proofErr w:type="spellStart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Дуплексеры</w:t>
      </w:r>
      <w:proofErr w:type="spellEnd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 и </w:t>
      </w:r>
      <w:proofErr w:type="spellStart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диплексеры</w:t>
      </w:r>
      <w:proofErr w:type="spellEnd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bookmarkStart w:id="6" w:name="_Toc151221303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 xml:space="preserve">Улучшение качества </w:t>
      </w:r>
      <w:proofErr w:type="spellStart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радиопокрытия</w:t>
      </w:r>
      <w:bookmarkEnd w:id="6"/>
      <w:proofErr w:type="spellEnd"/>
      <w:r w:rsidRPr="005E5FD8">
        <w:rPr>
          <w:rFonts w:ascii="Verdana" w:eastAsia="Times New Roman" w:hAnsi="Verdana" w:cs="Times New Roman"/>
          <w:color w:val="222222"/>
          <w:sz w:val="20"/>
          <w:szCs w:val="20"/>
          <w:bdr w:val="none" w:sz="0" w:space="0" w:color="auto" w:frame="1"/>
          <w:lang w:eastAsia="ru-RU"/>
        </w:rPr>
        <w:t>. Антенные усилители.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Конфигурации сайтов СМС. Типовое оборудование сайтов.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proofErr w:type="spellStart"/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Радиоинтерфейсы</w:t>
      </w:r>
      <w:proofErr w:type="spellEnd"/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 xml:space="preserve">, технологии и радиооборудование </w:t>
      </w:r>
      <w:proofErr w:type="gramStart"/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>современных</w:t>
      </w:r>
      <w:proofErr w:type="gramEnd"/>
      <w:r w:rsidRPr="005E5FD8">
        <w:rPr>
          <w:rFonts w:ascii="Verdana" w:eastAsia="Times New Roman" w:hAnsi="Verdana" w:cs="Tahoma"/>
          <w:b/>
          <w:bCs/>
          <w:color w:val="222222"/>
          <w:sz w:val="20"/>
          <w:szCs w:val="20"/>
          <w:bdr w:val="none" w:sz="0" w:space="0" w:color="auto" w:frame="1"/>
          <w:lang w:eastAsia="ru-RU"/>
        </w:rPr>
        <w:t xml:space="preserve"> СМС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Стандарт GSM. Типовая структура и компоненты системы. Регистры HLR, VLR.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Стандарт GSM.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 Каналы. Пакеты.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Системы связи пятого поколения 5G. Требования, особенности.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Технология DECT.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 Типовые структуры оборудования системы DECT.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Транкинговые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системы связи. Назначение систем, их разновидности, классификация.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Стандарт TETRA. Структура системы.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Системы глобального позиционирования GNSS (GPS). Принцип определения положения в пространстве. Точность.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Системы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Глонасс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и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NavStar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(GPS). Составляющие системы.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Навигационные, транспортные системы. Системы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OmniTracs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EutelTracs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Локальные сети связи. </w:t>
      </w:r>
      <w:proofErr w:type="gram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Стандарты семейства IEEE 802.11 ((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WiFi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).</w:t>
      </w:r>
      <w:proofErr w:type="gram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 Назначение, стандарты, структуры, оборудование.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Стандарт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Bluetooth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. Структура системы.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Стандарт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WiMax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. Структура системы.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Стандарт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ZigBee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. Структура системы.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Стандарт 3GPP LTE. Структура системы.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Радиоинтерфейс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 xml:space="preserve">Антенны для модулей </w:t>
      </w:r>
      <w:proofErr w:type="spellStart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Bluetooth</w:t>
      </w:r>
      <w:proofErr w:type="spellEnd"/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Технология множественного приема и передачи MIMO.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Технология OFDM. Применение в системах различных стандартов.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Сверхширокополосные системы связи UWB.</w:t>
      </w:r>
    </w:p>
    <w:p w:rsidR="005E5FD8" w:rsidRPr="005E5FD8" w:rsidRDefault="005E5FD8" w:rsidP="005E5FD8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222222"/>
          <w:sz w:val="24"/>
          <w:szCs w:val="24"/>
          <w:lang w:eastAsia="ru-RU"/>
        </w:rPr>
      </w:pPr>
      <w:r w:rsidRPr="005E5FD8">
        <w:rPr>
          <w:rFonts w:ascii="Verdana" w:eastAsia="Times New Roman" w:hAnsi="Verdana" w:cs="Tahoma"/>
          <w:color w:val="222222"/>
          <w:sz w:val="20"/>
          <w:szCs w:val="20"/>
          <w:bdr w:val="none" w:sz="0" w:space="0" w:color="auto" w:frame="1"/>
          <w:lang w:eastAsia="ru-RU"/>
        </w:rPr>
        <w:t>Типовое оборудование базовых станций сотовых систем. Сайты сотовых систем.</w:t>
      </w:r>
    </w:p>
    <w:p w:rsidR="00BF2228" w:rsidRDefault="00BF2228">
      <w:bookmarkStart w:id="7" w:name="_GoBack"/>
      <w:bookmarkEnd w:id="7"/>
    </w:p>
    <w:sectPr w:rsidR="00BF2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91B"/>
    <w:rsid w:val="005E5FD8"/>
    <w:rsid w:val="0065391B"/>
    <w:rsid w:val="00BF2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2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911</Words>
  <Characters>5199</Characters>
  <Application>Microsoft Office Word</Application>
  <DocSecurity>0</DocSecurity>
  <Lines>43</Lines>
  <Paragraphs>12</Paragraphs>
  <ScaleCrop>false</ScaleCrop>
  <Company>Reanimator Extreme Edition</Company>
  <LinksUpToDate>false</LinksUpToDate>
  <CharactersWithSpaces>6098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2018-09-29T11:55:00Z</dcterms:created>
  <dcterms:modified xsi:type="dcterms:W3CDTF">2018-09-29T11:55:00Z</dcterms:modified>
</cp:coreProperties>
</file>